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4" w:rsidRPr="006B1A04" w:rsidRDefault="006B1A04" w:rsidP="006B1A04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Информационная справка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результатах </w:t>
      </w:r>
    </w:p>
    <w:p w:rsidR="006B1A04" w:rsidRDefault="006B1A04" w:rsidP="006B1A04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>общественного наблюдения за объективностью проведения Всероссийских проверочных работ в общеобразовательн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>организац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иях </w:t>
      </w:r>
      <w:r w:rsidR="00B43395">
        <w:rPr>
          <w:rStyle w:val="a4"/>
          <w:rFonts w:ascii="Times New Roman" w:hAnsi="Times New Roman" w:cs="Times New Roman"/>
          <w:color w:val="auto"/>
          <w:sz w:val="28"/>
          <w:szCs w:val="28"/>
        </w:rPr>
        <w:t>Тернейского муниципального округа в 2021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году</w:t>
      </w:r>
    </w:p>
    <w:p w:rsidR="009C4ECD" w:rsidRDefault="009C4ECD" w:rsidP="009C4ECD"/>
    <w:p w:rsidR="009C4ECD" w:rsidRPr="009C4ECD" w:rsidRDefault="009C4ECD" w:rsidP="009C4ECD">
      <w:r>
        <w:t xml:space="preserve">        от </w:t>
      </w:r>
      <w:r w:rsidR="00B43395">
        <w:t>21.05.2021</w:t>
      </w:r>
    </w:p>
    <w:p w:rsidR="006B1A04" w:rsidRDefault="006B1A04" w:rsidP="006B1A04"/>
    <w:p w:rsidR="006B1A04" w:rsidRDefault="006B1A04" w:rsidP="00A26998">
      <w:pPr>
        <w:ind w:firstLine="567"/>
        <w:jc w:val="both"/>
      </w:pPr>
      <w:r>
        <w:t>На основании приказа</w:t>
      </w:r>
      <w:r w:rsidR="004601EB">
        <w:t xml:space="preserve"> управления образования администрации </w:t>
      </w:r>
      <w:r w:rsidR="00B43395">
        <w:t>Тернейского муниципального округа от 15.03.2021</w:t>
      </w:r>
      <w:r w:rsidR="004601EB">
        <w:t xml:space="preserve"> </w:t>
      </w:r>
      <w:r>
        <w:t>№</w:t>
      </w:r>
      <w:r w:rsidR="007B7044">
        <w:t xml:space="preserve"> </w:t>
      </w:r>
      <w:r w:rsidR="00B43395">
        <w:t>60</w:t>
      </w:r>
      <w:r>
        <w:t xml:space="preserve"> «Об </w:t>
      </w:r>
      <w:r w:rsidR="00B43395">
        <w:t xml:space="preserve">организации </w:t>
      </w:r>
      <w:proofErr w:type="gramStart"/>
      <w:r w:rsidR="00B43395">
        <w:t>контроля за</w:t>
      </w:r>
      <w:proofErr w:type="gramEnd"/>
      <w:r w:rsidR="00B43395">
        <w:t xml:space="preserve"> соблюдением порядка проведения Всероссийских проверочных работ</w:t>
      </w:r>
      <w:r>
        <w:t xml:space="preserve">» </w:t>
      </w:r>
      <w:r w:rsidR="004601EB">
        <w:t xml:space="preserve">в период проведения всероссийский проверочных работ был осуществлен общественный контроль за процедурой проведения всероссийских проверочных работ. </w:t>
      </w:r>
      <w:proofErr w:type="gramStart"/>
      <w:r w:rsidR="00416006">
        <w:t xml:space="preserve">Для этой работы были </w:t>
      </w:r>
      <w:r>
        <w:t xml:space="preserve">определены 21 общественный наблюдатель из представителей родительской общественности, </w:t>
      </w:r>
      <w:r w:rsidR="00B43395">
        <w:t>управления образования администрации Тернейского муниципального округа</w:t>
      </w:r>
      <w:r w:rsidR="00A26998">
        <w:t xml:space="preserve">, </w:t>
      </w:r>
      <w:r w:rsidR="00B43395">
        <w:t xml:space="preserve">МКДОУ «Детский сад №6 с. </w:t>
      </w:r>
      <w:proofErr w:type="spellStart"/>
      <w:r w:rsidR="00B43395">
        <w:t>Самарга</w:t>
      </w:r>
      <w:proofErr w:type="spellEnd"/>
      <w:r w:rsidR="00B43395">
        <w:t xml:space="preserve">», МКДОУ «Детский сад №13 с. </w:t>
      </w:r>
      <w:proofErr w:type="spellStart"/>
      <w:r w:rsidR="00B43395">
        <w:t>Перетычиха</w:t>
      </w:r>
      <w:proofErr w:type="spellEnd"/>
      <w:r w:rsidR="00B43395">
        <w:t>», МКДОУ «Детский сад №12 п. Светлая</w:t>
      </w:r>
      <w:r w:rsidR="00866A78">
        <w:t>».</w:t>
      </w:r>
      <w:proofErr w:type="gramEnd"/>
    </w:p>
    <w:p w:rsidR="00A26998" w:rsidRPr="00A26998" w:rsidRDefault="00866A78" w:rsidP="00A26998">
      <w:pPr>
        <w:ind w:firstLine="284"/>
        <w:contextualSpacing/>
        <w:jc w:val="both"/>
      </w:pPr>
      <w:r>
        <w:t xml:space="preserve">     </w:t>
      </w:r>
      <w:r w:rsidR="00A26998">
        <w:t xml:space="preserve">Общественным наблюдателям были </w:t>
      </w:r>
      <w:r w:rsidR="00A26998" w:rsidRPr="00A26998">
        <w:t>доведены рекомендации для общественных наблюдателей при проведении Всероссийских проверочны</w:t>
      </w:r>
      <w:r w:rsidR="00B43395">
        <w:t>х работ в Приморском крае в 2021</w:t>
      </w:r>
      <w:r w:rsidR="00A26998" w:rsidRPr="00A26998">
        <w:t xml:space="preserve"> году</w:t>
      </w:r>
      <w:r w:rsidR="00A26998">
        <w:t>.</w:t>
      </w:r>
    </w:p>
    <w:p w:rsidR="00FF73B7" w:rsidRDefault="00FF73B7" w:rsidP="00A26998">
      <w:pPr>
        <w:ind w:firstLine="567"/>
        <w:jc w:val="both"/>
      </w:pPr>
    </w:p>
    <w:p w:rsidR="00A26998" w:rsidRPr="001A7E91" w:rsidRDefault="001679CA" w:rsidP="001679CA">
      <w:pPr>
        <w:ind w:firstLine="567"/>
        <w:jc w:val="center"/>
        <w:rPr>
          <w:b/>
        </w:rPr>
      </w:pPr>
      <w:r w:rsidRPr="001A7E91">
        <w:rPr>
          <w:b/>
        </w:rPr>
        <w:t xml:space="preserve">Показатели и результат </w:t>
      </w:r>
      <w:r w:rsidR="00A26998" w:rsidRPr="001A7E91">
        <w:rPr>
          <w:b/>
        </w:rPr>
        <w:t>работы общественных наблюдателей</w:t>
      </w:r>
      <w:r w:rsidRPr="001A7E91">
        <w:rPr>
          <w:b/>
        </w:rPr>
        <w:t>:</w:t>
      </w:r>
    </w:p>
    <w:p w:rsidR="00A26998" w:rsidRPr="006B1A04" w:rsidRDefault="00A26998" w:rsidP="00A26998">
      <w:pPr>
        <w:jc w:val="both"/>
      </w:pPr>
    </w:p>
    <w:p w:rsidR="006B1A04" w:rsidRDefault="006B1A04" w:rsidP="006B1A04">
      <w:pPr>
        <w:rPr>
          <w:vanish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939"/>
        <w:gridCol w:w="5853"/>
      </w:tblGrid>
      <w:tr w:rsidR="006B1A04" w:rsidRPr="001A7E91" w:rsidTr="00134FD1">
        <w:trPr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6B1A04">
            <w:pPr>
              <w:widowControl w:val="0"/>
              <w:jc w:val="center"/>
              <w:rPr>
                <w:b/>
              </w:rPr>
            </w:pPr>
            <w:r w:rsidRPr="009F0DEB">
              <w:rPr>
                <w:b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6B1A04">
            <w:pPr>
              <w:widowControl w:val="0"/>
              <w:jc w:val="center"/>
              <w:rPr>
                <w:b/>
              </w:rPr>
            </w:pPr>
            <w:r w:rsidRPr="009F0DEB">
              <w:rPr>
                <w:b/>
              </w:rPr>
              <w:t>Показатели наблюдения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1679CA">
            <w:pPr>
              <w:widowControl w:val="0"/>
              <w:jc w:val="center"/>
              <w:rPr>
                <w:b/>
                <w:color w:val="000000"/>
                <w:spacing w:val="2"/>
              </w:rPr>
            </w:pPr>
            <w:r w:rsidRPr="009F0DEB">
              <w:rPr>
                <w:b/>
                <w:color w:val="000000"/>
                <w:spacing w:val="2"/>
              </w:rPr>
              <w:t>Результат</w:t>
            </w:r>
            <w:r w:rsidR="00A26998" w:rsidRPr="009F0DEB">
              <w:rPr>
                <w:b/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приказа по организации проведения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1679CA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Во всех учреждениях име</w:t>
            </w:r>
            <w:r w:rsidR="00416006">
              <w:rPr>
                <w:color w:val="000000"/>
                <w:spacing w:val="2"/>
              </w:rPr>
              <w:t>ю</w:t>
            </w:r>
            <w:r w:rsidRPr="001A7E91">
              <w:rPr>
                <w:color w:val="000000"/>
                <w:spacing w:val="2"/>
              </w:rPr>
              <w:t>тся приказ</w:t>
            </w:r>
            <w:r w:rsidR="00416006">
              <w:rPr>
                <w:color w:val="000000"/>
                <w:spacing w:val="2"/>
              </w:rPr>
              <w:t>ы</w:t>
            </w:r>
            <w:r w:rsidRPr="001A7E91">
              <w:rPr>
                <w:color w:val="000000"/>
                <w:spacing w:val="2"/>
              </w:rPr>
              <w:t xml:space="preserve"> о проведении Всероссийских проверочных работ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обучающихся с ОВЗ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B43395" w:rsidP="0023509B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  <w:r w:rsidR="00FD3E02" w:rsidRPr="001A7E91">
              <w:rPr>
                <w:color w:val="000000"/>
                <w:spacing w:val="2"/>
              </w:rPr>
              <w:t xml:space="preserve"> учащихся </w:t>
            </w:r>
            <w:r w:rsidR="00416006">
              <w:rPr>
                <w:color w:val="000000"/>
                <w:spacing w:val="2"/>
              </w:rPr>
              <w:t xml:space="preserve">в </w:t>
            </w:r>
            <w:r w:rsidR="0023509B">
              <w:rPr>
                <w:color w:val="000000"/>
                <w:spacing w:val="2"/>
              </w:rPr>
              <w:t>МКОУ СОШ п. Терней</w:t>
            </w:r>
            <w:r w:rsidR="00FD3E02" w:rsidRPr="001A7E91">
              <w:rPr>
                <w:color w:val="000000"/>
                <w:spacing w:val="2"/>
              </w:rPr>
              <w:t xml:space="preserve">, </w:t>
            </w:r>
            <w:r w:rsidR="0023509B">
              <w:rPr>
                <w:color w:val="000000"/>
                <w:spacing w:val="2"/>
              </w:rPr>
              <w:t>9 учащихся МКОУ СОШ п. Пластун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Аудитория проведения </w:t>
            </w:r>
            <w:r w:rsidR="00416006">
              <w:rPr>
                <w:color w:val="000000"/>
                <w:spacing w:val="-3"/>
              </w:rPr>
              <w:t>(</w:t>
            </w:r>
            <w:r w:rsidRPr="001A7E91">
              <w:rPr>
                <w:color w:val="000000"/>
                <w:spacing w:val="-3"/>
              </w:rPr>
              <w:t>соответствует санитарным требованиям и условиям</w:t>
            </w:r>
            <w:r w:rsidR="00416006">
              <w:rPr>
                <w:color w:val="000000"/>
                <w:spacing w:val="-3"/>
              </w:rPr>
              <w:t xml:space="preserve"> – да/нет)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8C4F15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Все аудитории проведения соответствовали санитарным нормам, в большинстве рассадка осуществлялась по 2 человека</w:t>
            </w:r>
            <w:r w:rsidR="00416006">
              <w:rPr>
                <w:color w:val="000000"/>
                <w:spacing w:val="2"/>
              </w:rPr>
              <w:t>.</w:t>
            </w:r>
            <w:r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416006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Уборка кабинетов производилась в соответствии санитарно-эпидемиологическими требованиями.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Соблюдение времени проведения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FD3E02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Нарушений по времени проведения </w:t>
            </w:r>
            <w:r w:rsidR="00416006">
              <w:rPr>
                <w:color w:val="000000"/>
                <w:spacing w:val="2"/>
              </w:rPr>
              <w:t>в</w:t>
            </w:r>
            <w:r w:rsidRPr="001A7E91">
              <w:rPr>
                <w:color w:val="000000"/>
                <w:spacing w:val="2"/>
              </w:rPr>
              <w:t xml:space="preserve">сероссийских проверочных работ </w:t>
            </w:r>
            <w:r w:rsidR="00416006" w:rsidRPr="001A7E91">
              <w:rPr>
                <w:color w:val="000000"/>
                <w:spacing w:val="2"/>
              </w:rPr>
              <w:t xml:space="preserve">не </w:t>
            </w:r>
            <w:r w:rsidRPr="001A7E91">
              <w:rPr>
                <w:color w:val="000000"/>
                <w:spacing w:val="2"/>
              </w:rPr>
              <w:t>выявлено</w:t>
            </w:r>
            <w:r w:rsidR="00416006">
              <w:rPr>
                <w:color w:val="000000"/>
                <w:spacing w:val="2"/>
              </w:rPr>
              <w:t>.</w:t>
            </w:r>
            <w:r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416006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</w:t>
            </w:r>
            <w:r w:rsidR="008C4F15" w:rsidRPr="001A7E91">
              <w:rPr>
                <w:color w:val="000000"/>
                <w:spacing w:val="2"/>
              </w:rPr>
              <w:t xml:space="preserve">амечаний по обеспечению порядка в аудиториях общественными наблюдателями </w:t>
            </w:r>
            <w:r w:rsidRPr="001A7E91">
              <w:rPr>
                <w:color w:val="000000"/>
                <w:spacing w:val="2"/>
              </w:rPr>
              <w:t xml:space="preserve">не </w:t>
            </w:r>
            <w:r>
              <w:rPr>
                <w:color w:val="000000"/>
                <w:spacing w:val="2"/>
              </w:rPr>
              <w:t>выявлено.</w:t>
            </w:r>
            <w:r w:rsidR="008C4F15"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Доброжелательный настрой организаторов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Общественные наблюдатели отметили доброжелательный настрой организаторов при проведении ВПР</w:t>
            </w:r>
            <w:r w:rsidR="00416006">
              <w:rPr>
                <w:color w:val="000000"/>
                <w:spacing w:val="2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8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Форма рассадки участников процедуры (по 1 или  по 2 участника)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</w:t>
            </w:r>
            <w:r w:rsidR="00134FD1" w:rsidRPr="001A7E91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б</w:t>
            </w:r>
            <w:r w:rsidR="00134FD1" w:rsidRPr="001A7E91">
              <w:rPr>
                <w:color w:val="000000"/>
                <w:spacing w:val="2"/>
              </w:rPr>
              <w:t>ольшинств</w:t>
            </w:r>
            <w:r w:rsidRPr="001A7E91">
              <w:rPr>
                <w:color w:val="000000"/>
                <w:spacing w:val="2"/>
              </w:rPr>
              <w:t>е учреждений рассадка осуществлялась</w:t>
            </w:r>
            <w:r w:rsidR="00134FD1" w:rsidRPr="001A7E91">
              <w:rPr>
                <w:color w:val="000000"/>
                <w:spacing w:val="2"/>
              </w:rPr>
              <w:t xml:space="preserve"> по 2 участника, в связи с тем, что в рамках эпидемиологической ситуации у детей кабинетная система</w:t>
            </w:r>
            <w:r w:rsidR="00416006">
              <w:rPr>
                <w:color w:val="000000"/>
                <w:spacing w:val="2"/>
              </w:rPr>
              <w:t>.</w:t>
            </w:r>
            <w:r w:rsidR="00134FD1"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9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257C31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Обеспечение всех </w:t>
            </w:r>
            <w:r w:rsidRPr="001A7E91">
              <w:rPr>
                <w:color w:val="000000"/>
                <w:spacing w:val="-3"/>
              </w:rPr>
              <w:lastRenderedPageBreak/>
              <w:t>обучающихся контрольно-измерительными материалами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lastRenderedPageBreak/>
              <w:t xml:space="preserve">Все обучающиеся </w:t>
            </w:r>
            <w:r w:rsidR="0097546E" w:rsidRPr="001A7E91">
              <w:rPr>
                <w:color w:val="000000"/>
                <w:spacing w:val="-3"/>
              </w:rPr>
              <w:t xml:space="preserve">были обеспечены необходимыми </w:t>
            </w:r>
            <w:r w:rsidRPr="001A7E91">
              <w:rPr>
                <w:color w:val="000000"/>
                <w:spacing w:val="-3"/>
              </w:rPr>
              <w:lastRenderedPageBreak/>
              <w:t>контрольно-измерительными материалами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lastRenderedPageBreak/>
              <w:t>10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общественных наблюдателей, привлеченных образовательной организацией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C013F4" w:rsidP="0023509B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</w:t>
            </w:r>
            <w:r w:rsidR="0097546E" w:rsidRPr="001A7E91">
              <w:rPr>
                <w:color w:val="000000"/>
                <w:spacing w:val="2"/>
              </w:rPr>
              <w:t xml:space="preserve"> общеобразовательных организаци</w:t>
            </w:r>
            <w:r>
              <w:rPr>
                <w:color w:val="000000"/>
                <w:spacing w:val="2"/>
              </w:rPr>
              <w:t xml:space="preserve">ях </w:t>
            </w:r>
            <w:r w:rsidR="0097546E" w:rsidRPr="001A7E91">
              <w:rPr>
                <w:color w:val="000000"/>
                <w:spacing w:val="2"/>
              </w:rPr>
              <w:t xml:space="preserve">присутствовали </w:t>
            </w:r>
            <w:r w:rsidR="0097546E" w:rsidRPr="001A7E91">
              <w:rPr>
                <w:color w:val="000000"/>
                <w:spacing w:val="-3"/>
              </w:rPr>
              <w:t>общественные наблюдатели,</w:t>
            </w:r>
            <w:r>
              <w:rPr>
                <w:color w:val="000000"/>
                <w:spacing w:val="-3"/>
              </w:rPr>
              <w:t xml:space="preserve"> </w:t>
            </w:r>
            <w:r w:rsidR="0097546E" w:rsidRPr="001A7E91">
              <w:rPr>
                <w:color w:val="000000"/>
                <w:spacing w:val="-3"/>
              </w:rPr>
              <w:t>привлеченные образовательной организацией</w:t>
            </w:r>
            <w:r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 w:rsidP="00C013F4">
            <w:pPr>
              <w:widowControl w:val="0"/>
              <w:rPr>
                <w:color w:val="000000"/>
                <w:spacing w:val="-3"/>
              </w:rPr>
            </w:pPr>
            <w:r>
              <w:t>Проведение</w:t>
            </w:r>
            <w:r w:rsidR="006B1A04" w:rsidRPr="001A7E91">
              <w:t xml:space="preserve"> инструктаж</w:t>
            </w:r>
            <w:r>
              <w:t xml:space="preserve">а, </w:t>
            </w:r>
            <w:r w:rsidR="006B1A04" w:rsidRPr="001A7E91">
              <w:t>информирова</w:t>
            </w:r>
            <w:r>
              <w:t>ние</w:t>
            </w:r>
            <w:r w:rsidR="006B1A04" w:rsidRPr="001A7E91">
              <w:t xml:space="preserve"> о порядке проведения процедуры</w:t>
            </w:r>
            <w:r w:rsidRPr="001A7E91">
              <w:t xml:space="preserve"> участник</w:t>
            </w:r>
            <w:r>
              <w:t>ов ВПР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>Все организаторы провели инструктаж для участников и проинформировали о порядке проведения процедуры ВПР</w:t>
            </w:r>
            <w:r w:rsidR="00C013F4"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</w:pPr>
            <w:r w:rsidRPr="001A7E91">
              <w:t xml:space="preserve">Соблюдение порядка проведения процедуры, в </w:t>
            </w:r>
            <w:proofErr w:type="spellStart"/>
            <w:r w:rsidRPr="001A7E91">
              <w:t>т.ч</w:t>
            </w:r>
            <w:proofErr w:type="spellEnd"/>
            <w:r w:rsidRPr="001A7E91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Х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</w:t>
            </w:r>
            <w:r w:rsidR="00FD3E02" w:rsidRPr="001A7E91">
              <w:rPr>
                <w:color w:val="000000"/>
                <w:spacing w:val="-3"/>
              </w:rPr>
              <w:t>2</w:t>
            </w:r>
            <w:r w:rsidRPr="001A7E91">
              <w:rPr>
                <w:color w:val="000000"/>
                <w:spacing w:val="-3"/>
              </w:rPr>
              <w:t>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 w:rsidP="00C013F4">
            <w:pPr>
              <w:widowControl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Наличие </w:t>
            </w:r>
            <w:r w:rsidR="006B1A04" w:rsidRPr="001A7E91">
              <w:rPr>
                <w:color w:val="000000"/>
                <w:spacing w:val="-3"/>
              </w:rPr>
              <w:t xml:space="preserve">фактов использования </w:t>
            </w:r>
            <w:r>
              <w:rPr>
                <w:color w:val="000000"/>
                <w:spacing w:val="-3"/>
              </w:rPr>
              <w:t>о</w:t>
            </w:r>
            <w:r w:rsidR="006B1A04" w:rsidRPr="001A7E91">
              <w:rPr>
                <w:color w:val="000000"/>
                <w:spacing w:val="-3"/>
              </w:rPr>
              <w:t xml:space="preserve">бучающимися справочно-информационных материалов по теме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использования обучающимися справочно-информационных материалов 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2</w:t>
            </w:r>
            <w:r w:rsidRPr="001A7E91">
              <w:t>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>
            <w:pPr>
              <w:widowControl w:val="0"/>
              <w:jc w:val="both"/>
            </w:pPr>
            <w:r>
              <w:t>Наличие</w:t>
            </w:r>
            <w:r w:rsidR="006B1A04" w:rsidRPr="001A7E91">
              <w:t xml:space="preserve"> фактов «подсказывания» обучающимся со стороны организаторов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«подсказывания» обучающимся со стороны организаторов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  <w:r w:rsidRPr="001A7E91">
              <w:rPr>
                <w:color w:val="000000"/>
                <w:spacing w:val="-3"/>
              </w:rPr>
              <w:t xml:space="preserve"> 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</w:pPr>
            <w:r w:rsidRPr="001A7E91">
              <w:t>13.3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</w:pPr>
            <w:r w:rsidRPr="001A7E91">
              <w:t>Исключение фактов выноса работ обучающихся и контрольно-измерительных работ во время проведения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выноса работ обучающихся и контрольно-измерительных работ во время проведения процедуры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</w:pPr>
            <w:r w:rsidRPr="001A7E91">
              <w:t>13.4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</w:pPr>
            <w:r w:rsidRPr="001A7E91">
              <w:t>Исключение фактов свободного перемещения по аудитории участниками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свободного перемещения по аудитории участниками процедуры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Исключение фактов использования телефонов организаторами и участниками процедуры </w:t>
            </w:r>
            <w:r w:rsidRPr="001A7E91">
              <w:t xml:space="preserve">во время ее проведения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использования телефонов организаторами и участниками процедуры </w:t>
            </w:r>
            <w:r w:rsidRPr="001A7E91">
              <w:t>во время ее проведения</w:t>
            </w:r>
            <w:r w:rsidRPr="001A7E91">
              <w:rPr>
                <w:color w:val="000000"/>
                <w:spacing w:val="-3"/>
              </w:rPr>
              <w:t xml:space="preserve"> 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  <w:r w:rsidRPr="001A7E91">
              <w:rPr>
                <w:color w:val="000000"/>
                <w:spacing w:val="-3"/>
              </w:rPr>
              <w:t xml:space="preserve"> 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Исключение фактов покидания аудитории организатором в аудитории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>Фактов покидания аудитории организатором в аудитории общественным</w:t>
            </w:r>
            <w:r w:rsidR="00A32B57">
              <w:rPr>
                <w:color w:val="000000"/>
                <w:spacing w:val="-3"/>
              </w:rPr>
              <w:t>и наблюдателями не выявлено.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занятия организатором в аудитории посторонними делами (чтение, разговоры и пр.)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занятия организатором в аудитории посторонними делами (чтение, разговоры и пр.)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lastRenderedPageBreak/>
              <w:t>13.8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присутствия в аудитории посторонних лиц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присутствия в аудитории посторонних лиц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13.9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отсутствия фиксации на доске времени начала и окончания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отсутствия фиксации на доске времени начала и окончания процедуры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Во всех общеобразовательных организациях созданы условия для </w:t>
            </w:r>
            <w:r w:rsidRPr="001A7E91">
              <w:rPr>
                <w:color w:val="000000"/>
                <w:spacing w:val="-3"/>
              </w:rPr>
              <w:t>сохранности данных при сборе и обработке результатов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1A7E91">
              <w:rPr>
                <w:color w:val="000000"/>
              </w:rPr>
              <w:t>15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A7E91">
              <w:rPr>
                <w:color w:val="000000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1A7E91" w:rsidP="00416006">
            <w:pPr>
              <w:widowControl w:val="0"/>
              <w:jc w:val="both"/>
            </w:pPr>
            <w:r w:rsidRPr="001A7E91">
              <w:t xml:space="preserve">Проверку осуществляли школьные комиссии, исключая факт проверки работ учителем, ведущим </w:t>
            </w:r>
            <w:r w:rsidR="00A32B57">
              <w:t xml:space="preserve">предмет </w:t>
            </w:r>
            <w:r w:rsidRPr="001A7E91">
              <w:t>в данном классе</w:t>
            </w:r>
            <w:r w:rsidR="00A32B57">
              <w:t>.</w:t>
            </w:r>
          </w:p>
        </w:tc>
      </w:tr>
    </w:tbl>
    <w:p w:rsidR="006B1A04" w:rsidRDefault="006B1A04" w:rsidP="006B1A04">
      <w:pPr>
        <w:widowControl w:val="0"/>
        <w:jc w:val="both"/>
      </w:pPr>
    </w:p>
    <w:p w:rsidR="00E80CF2" w:rsidRDefault="00901749" w:rsidP="00A32B57">
      <w:pPr>
        <w:spacing w:line="360" w:lineRule="auto"/>
        <w:ind w:firstLine="426"/>
        <w:jc w:val="both"/>
      </w:pPr>
      <w:r w:rsidRPr="00901749">
        <w:t xml:space="preserve">В </w:t>
      </w:r>
      <w:r w:rsidR="00A32B57">
        <w:t xml:space="preserve">общеобразовательных учреждениях </w:t>
      </w:r>
      <w:r w:rsidR="0023509B">
        <w:t>Тернейского муниципального</w:t>
      </w:r>
      <w:bookmarkStart w:id="0" w:name="_GoBack"/>
      <w:bookmarkEnd w:id="0"/>
      <w:r w:rsidR="00A32B57">
        <w:t xml:space="preserve"> округа</w:t>
      </w:r>
      <w:r w:rsidRPr="00901749">
        <w:t>, в которых проводилось общественное наблюдение</w:t>
      </w:r>
      <w:r w:rsidR="00172E5C">
        <w:t>,</w:t>
      </w:r>
      <w:r w:rsidRPr="00901749">
        <w:t xml:space="preserve"> нарушений не выявлено</w:t>
      </w:r>
      <w:r w:rsidR="00172E5C">
        <w:t>.</w:t>
      </w:r>
      <w:r w:rsidRPr="00901749">
        <w:t xml:space="preserve"> В</w:t>
      </w:r>
      <w:r w:rsidR="00172E5C">
        <w:t>сероссийские проверочные работы</w:t>
      </w:r>
      <w:r w:rsidRPr="00901749">
        <w:t xml:space="preserve"> про</w:t>
      </w:r>
      <w:r w:rsidR="00172E5C">
        <w:t>ведены в соответствии с установленным</w:t>
      </w:r>
      <w:r w:rsidRPr="00901749">
        <w:t xml:space="preserve"> поряд</w:t>
      </w:r>
      <w:r w:rsidR="00172E5C">
        <w:t>ком</w:t>
      </w:r>
      <w:r w:rsidR="00A32B57">
        <w:t>.</w:t>
      </w:r>
    </w:p>
    <w:p w:rsidR="00901749" w:rsidRDefault="00901749" w:rsidP="00901749">
      <w:pPr>
        <w:ind w:firstLine="426"/>
        <w:jc w:val="both"/>
        <w:rPr>
          <w:b/>
        </w:rPr>
      </w:pPr>
    </w:p>
    <w:sectPr w:rsidR="0090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4"/>
    <w:rsid w:val="00134FD1"/>
    <w:rsid w:val="001679CA"/>
    <w:rsid w:val="00172E5C"/>
    <w:rsid w:val="001A7E91"/>
    <w:rsid w:val="0023509B"/>
    <w:rsid w:val="00257C31"/>
    <w:rsid w:val="00416006"/>
    <w:rsid w:val="004601EB"/>
    <w:rsid w:val="006B1A04"/>
    <w:rsid w:val="007B7044"/>
    <w:rsid w:val="00866A78"/>
    <w:rsid w:val="008C4F15"/>
    <w:rsid w:val="00901749"/>
    <w:rsid w:val="0097546E"/>
    <w:rsid w:val="009C4ECD"/>
    <w:rsid w:val="009F0DEB"/>
    <w:rsid w:val="00A26998"/>
    <w:rsid w:val="00A32B57"/>
    <w:rsid w:val="00A75CA4"/>
    <w:rsid w:val="00A944AB"/>
    <w:rsid w:val="00B43395"/>
    <w:rsid w:val="00C013F4"/>
    <w:rsid w:val="00E51AA6"/>
    <w:rsid w:val="00E80CF2"/>
    <w:rsid w:val="00FD3E02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B1A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B1A0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B1A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B1A0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Qwer</cp:lastModifiedBy>
  <cp:revision>4</cp:revision>
  <dcterms:created xsi:type="dcterms:W3CDTF">2021-05-17T07:44:00Z</dcterms:created>
  <dcterms:modified xsi:type="dcterms:W3CDTF">2021-07-02T04:28:00Z</dcterms:modified>
</cp:coreProperties>
</file>